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7E31" w14:textId="77777777" w:rsidR="00527B7E" w:rsidRPr="00F71067" w:rsidRDefault="00F71067">
      <w:pPr>
        <w:rPr>
          <w:rFonts w:cstheme="minorHAnsi"/>
          <w:sz w:val="24"/>
          <w:szCs w:val="24"/>
        </w:rPr>
      </w:pPr>
      <w:r>
        <w:rPr>
          <w:rFonts w:cstheme="minorHAnsi"/>
          <w:sz w:val="24"/>
          <w:szCs w:val="24"/>
        </w:rPr>
        <w:t>(Event is at the Partners’ Forum, Dec 12-13)</w:t>
      </w:r>
      <w:bookmarkStart w:id="0" w:name="_GoBack"/>
      <w:bookmarkEnd w:id="0"/>
    </w:p>
    <w:p w14:paraId="1429E4FC" w14:textId="77777777" w:rsidR="00F71067" w:rsidRPr="00F71067" w:rsidRDefault="00F71067">
      <w:pPr>
        <w:rPr>
          <w:rFonts w:cstheme="minorHAnsi"/>
          <w:b/>
          <w:sz w:val="24"/>
          <w:szCs w:val="24"/>
        </w:rPr>
      </w:pPr>
      <w:r w:rsidRPr="00F71067">
        <w:rPr>
          <w:rFonts w:cstheme="minorHAnsi"/>
          <w:b/>
          <w:bCs/>
          <w:sz w:val="24"/>
          <w:szCs w:val="24"/>
        </w:rPr>
        <w:t>Early Childhood Development: Achieving the Best Start to Life through Cross- Sectoral Action</w:t>
      </w:r>
    </w:p>
    <w:p w14:paraId="26426074" w14:textId="77777777" w:rsidR="00F71067" w:rsidRPr="00F71067" w:rsidRDefault="00F71067" w:rsidP="00F71067">
      <w:pPr>
        <w:spacing w:after="0"/>
        <w:rPr>
          <w:rFonts w:cstheme="minorHAnsi"/>
          <w:b/>
          <w:sz w:val="24"/>
          <w:szCs w:val="24"/>
        </w:rPr>
      </w:pPr>
      <w:r w:rsidRPr="00F71067">
        <w:rPr>
          <w:rFonts w:cstheme="minorHAnsi"/>
          <w:sz w:val="24"/>
          <w:szCs w:val="24"/>
        </w:rPr>
        <w:t xml:space="preserve">The </w:t>
      </w:r>
      <w:hyperlink r:id="rId5" w:history="1">
        <w:r w:rsidRPr="00F71067">
          <w:rPr>
            <w:rStyle w:val="Hyperlink"/>
            <w:rFonts w:cstheme="minorHAnsi"/>
            <w:sz w:val="24"/>
            <w:szCs w:val="24"/>
          </w:rPr>
          <w:t>4th Partners’ Forum</w:t>
        </w:r>
      </w:hyperlink>
      <w:r w:rsidRPr="00F71067">
        <w:rPr>
          <w:rFonts w:cstheme="minorHAnsi"/>
          <w:sz w:val="24"/>
          <w:szCs w:val="24"/>
        </w:rPr>
        <w:t xml:space="preserve">, convened by the </w:t>
      </w:r>
      <w:hyperlink r:id="rId6" w:history="1">
        <w:r w:rsidRPr="00F71067">
          <w:rPr>
            <w:rStyle w:val="Hyperlink"/>
            <w:rFonts w:cstheme="minorHAnsi"/>
            <w:sz w:val="24"/>
            <w:szCs w:val="24"/>
          </w:rPr>
          <w:t>Partnership for Maternal, Newborn &amp; Child Health (PMNCH)</w:t>
        </w:r>
      </w:hyperlink>
      <w:r w:rsidRPr="00F71067">
        <w:rPr>
          <w:rFonts w:cstheme="minorHAnsi"/>
          <w:sz w:val="24"/>
          <w:szCs w:val="24"/>
        </w:rPr>
        <w:t xml:space="preserve"> and the Government of India </w:t>
      </w:r>
      <w:r w:rsidRPr="00F71067">
        <w:rPr>
          <w:rFonts w:cstheme="minorHAnsi"/>
          <w:sz w:val="24"/>
          <w:szCs w:val="24"/>
        </w:rPr>
        <w:t xml:space="preserve">will take place in </w:t>
      </w:r>
      <w:r w:rsidRPr="00F71067">
        <w:rPr>
          <w:rFonts w:cstheme="minorHAnsi"/>
          <w:sz w:val="24"/>
          <w:szCs w:val="24"/>
        </w:rPr>
        <w:t>New Delhi on 12-13 December 2018</w:t>
      </w:r>
      <w:r w:rsidRPr="00F71067">
        <w:rPr>
          <w:rFonts w:cstheme="minorHAnsi"/>
          <w:sz w:val="24"/>
          <w:szCs w:val="24"/>
        </w:rPr>
        <w:t xml:space="preserve">. An ECD concurrent session is being organized around the theme of </w:t>
      </w:r>
      <w:r w:rsidRPr="00F71067">
        <w:rPr>
          <w:rFonts w:cstheme="minorHAnsi"/>
          <w:b/>
          <w:sz w:val="24"/>
          <w:szCs w:val="24"/>
        </w:rPr>
        <w:t xml:space="preserve">Multisectoral Collaboration. </w:t>
      </w:r>
      <w:r w:rsidRPr="00F71067">
        <w:rPr>
          <w:rFonts w:eastAsiaTheme="minorHAnsi" w:cstheme="minorHAnsi"/>
          <w:iCs/>
          <w:sz w:val="24"/>
          <w:szCs w:val="24"/>
          <w:lang w:eastAsia="en-US"/>
        </w:rPr>
        <w:t>T</w:t>
      </w:r>
      <w:r w:rsidRPr="00F71067">
        <w:rPr>
          <w:rFonts w:eastAsiaTheme="minorHAnsi" w:cstheme="minorHAnsi"/>
          <w:iCs/>
          <w:sz w:val="24"/>
          <w:szCs w:val="24"/>
          <w:lang w:eastAsia="en-US"/>
        </w:rPr>
        <w:t>his session will underscore the importance of multi-sectoral interventions for ECD, which are age-appropriate, target multiple risks, and build upon existing delivery platforms for ease of scale-up. The session will also incorporate a call to action to prioritize thrive with survive, to give every child the best start to life.</w:t>
      </w:r>
    </w:p>
    <w:p w14:paraId="5B7B11DD" w14:textId="77777777" w:rsidR="00F71067" w:rsidRPr="00F71067" w:rsidRDefault="00F71067" w:rsidP="00F71067">
      <w:pPr>
        <w:spacing w:after="0"/>
        <w:rPr>
          <w:rFonts w:cstheme="minorHAnsi"/>
          <w:b/>
          <w:sz w:val="24"/>
          <w:szCs w:val="24"/>
        </w:rPr>
      </w:pPr>
    </w:p>
    <w:p w14:paraId="1B692F51" w14:textId="77777777" w:rsidR="00F71067" w:rsidRPr="00F71067" w:rsidRDefault="00F71067" w:rsidP="00F71067">
      <w:pPr>
        <w:spacing w:after="0" w:line="240" w:lineRule="auto"/>
        <w:rPr>
          <w:rFonts w:eastAsiaTheme="minorHAnsi" w:cstheme="minorHAnsi"/>
          <w:b/>
          <w:iCs/>
          <w:sz w:val="24"/>
          <w:szCs w:val="24"/>
          <w:lang w:eastAsia="en-US"/>
        </w:rPr>
      </w:pPr>
      <w:r w:rsidRPr="00F71067">
        <w:rPr>
          <w:rFonts w:eastAsiaTheme="minorHAnsi" w:cstheme="minorHAnsi"/>
          <w:b/>
          <w:iCs/>
          <w:sz w:val="24"/>
          <w:szCs w:val="24"/>
          <w:lang w:eastAsia="en-US"/>
        </w:rPr>
        <w:t>Key Messages</w:t>
      </w:r>
    </w:p>
    <w:p w14:paraId="2D48FCB6" w14:textId="77777777" w:rsidR="00F71067" w:rsidRPr="00F71067" w:rsidRDefault="00F71067" w:rsidP="00F71067">
      <w:pPr>
        <w:spacing w:after="0" w:line="240" w:lineRule="auto"/>
        <w:rPr>
          <w:rFonts w:eastAsiaTheme="minorHAnsi" w:cstheme="minorHAnsi"/>
          <w:b/>
          <w:iCs/>
          <w:sz w:val="24"/>
          <w:szCs w:val="24"/>
          <w:lang w:eastAsia="en-US"/>
        </w:rPr>
      </w:pPr>
    </w:p>
    <w:p w14:paraId="64139421" w14:textId="77777777" w:rsidR="00F71067" w:rsidRPr="00F71067" w:rsidRDefault="00F71067" w:rsidP="00F71067">
      <w:pPr>
        <w:spacing w:after="0" w:line="240" w:lineRule="auto"/>
        <w:rPr>
          <w:rFonts w:eastAsiaTheme="minorHAnsi" w:cstheme="minorHAnsi"/>
          <w:iCs/>
          <w:sz w:val="24"/>
          <w:szCs w:val="24"/>
          <w:lang w:eastAsia="en-US"/>
        </w:rPr>
      </w:pPr>
      <w:r w:rsidRPr="00F71067">
        <w:rPr>
          <w:rFonts w:eastAsiaTheme="minorHAnsi" w:cstheme="minorHAnsi"/>
          <w:b/>
          <w:iCs/>
          <w:sz w:val="24"/>
          <w:szCs w:val="24"/>
          <w:lang w:eastAsia="en-US"/>
        </w:rPr>
        <w:t>Message #1:</w:t>
      </w:r>
      <w:r w:rsidRPr="00F71067">
        <w:rPr>
          <w:rFonts w:eastAsiaTheme="minorHAnsi" w:cstheme="minorHAnsi"/>
          <w:iCs/>
          <w:sz w:val="24"/>
          <w:szCs w:val="24"/>
          <w:lang w:eastAsia="en-US"/>
        </w:rPr>
        <w:t xml:space="preserve">  Early childhood development can be fortified through coordinated actions across multiple sectors including health, nutrition, education, child and social protection.  Whole-of-government approaches that support coordination at the highest levels of governance have shown to be effective in driving forward the agenda at national, sub-national and local levels. </w:t>
      </w:r>
    </w:p>
    <w:p w14:paraId="5E2690CD" w14:textId="77777777" w:rsidR="00F71067" w:rsidRPr="00F71067" w:rsidRDefault="00F71067" w:rsidP="00F71067">
      <w:pPr>
        <w:spacing w:after="0" w:line="240" w:lineRule="auto"/>
        <w:rPr>
          <w:rFonts w:cstheme="minorHAnsi"/>
          <w:b/>
          <w:sz w:val="24"/>
          <w:szCs w:val="24"/>
        </w:rPr>
      </w:pPr>
    </w:p>
    <w:p w14:paraId="088DE803" w14:textId="77777777" w:rsidR="00F71067" w:rsidRPr="00F71067" w:rsidRDefault="00F71067" w:rsidP="00F71067">
      <w:pPr>
        <w:spacing w:after="0" w:line="240" w:lineRule="auto"/>
        <w:rPr>
          <w:rFonts w:eastAsiaTheme="minorHAnsi" w:cstheme="minorHAnsi"/>
          <w:iCs/>
          <w:sz w:val="24"/>
          <w:szCs w:val="24"/>
          <w:lang w:eastAsia="en-US"/>
        </w:rPr>
      </w:pPr>
      <w:r w:rsidRPr="00F71067">
        <w:rPr>
          <w:rFonts w:cstheme="minorHAnsi"/>
          <w:b/>
          <w:sz w:val="24"/>
          <w:szCs w:val="24"/>
        </w:rPr>
        <w:t>Message #2:</w:t>
      </w:r>
      <w:r w:rsidRPr="00F71067">
        <w:rPr>
          <w:rFonts w:cstheme="minorHAnsi"/>
          <w:sz w:val="24"/>
          <w:szCs w:val="24"/>
        </w:rPr>
        <w:t xml:space="preserve">  Enabling environments for early childhood development result from the seamless interaction between policies, services, empowered communities, and enabled caregivers who have adequate time and resources to care for their children. Changing demographics call for attention to risks and protective factors in all settings.  </w:t>
      </w:r>
    </w:p>
    <w:p w14:paraId="470A5EE8" w14:textId="77777777" w:rsidR="00F71067" w:rsidRPr="00F71067" w:rsidRDefault="00F71067" w:rsidP="00F71067">
      <w:pPr>
        <w:spacing w:after="0" w:line="240" w:lineRule="auto"/>
        <w:rPr>
          <w:rFonts w:cstheme="minorHAnsi"/>
          <w:b/>
          <w:sz w:val="24"/>
          <w:szCs w:val="24"/>
        </w:rPr>
      </w:pPr>
    </w:p>
    <w:p w14:paraId="73E7BD60" w14:textId="77777777" w:rsidR="00F71067" w:rsidRPr="00F71067" w:rsidRDefault="00F71067" w:rsidP="00F71067">
      <w:pPr>
        <w:spacing w:after="0" w:line="240" w:lineRule="auto"/>
        <w:rPr>
          <w:rFonts w:eastAsiaTheme="minorHAnsi" w:cstheme="minorHAnsi"/>
          <w:iCs/>
          <w:sz w:val="24"/>
          <w:szCs w:val="24"/>
          <w:lang w:eastAsia="en-US"/>
        </w:rPr>
      </w:pPr>
      <w:r w:rsidRPr="00F71067">
        <w:rPr>
          <w:rFonts w:cstheme="minorHAnsi"/>
          <w:b/>
          <w:sz w:val="24"/>
          <w:szCs w:val="24"/>
        </w:rPr>
        <w:t>Message #3:</w:t>
      </w:r>
      <w:r w:rsidRPr="00F71067">
        <w:rPr>
          <w:rFonts w:cstheme="minorHAnsi"/>
          <w:sz w:val="24"/>
          <w:szCs w:val="24"/>
        </w:rPr>
        <w:t xml:space="preserve">  Interventions for early childhood development influence throughout the life course. The early years, starting from pregnancy, are a critical period during which the health sector has a special role to play to ensure that children, and their caregivers, are reached by effective interventions and can transition to formal education with optimal cognitive, physical, and socio-emotional skills and potential.   </w:t>
      </w:r>
    </w:p>
    <w:p w14:paraId="1C58F693" w14:textId="77777777" w:rsidR="00F71067" w:rsidRPr="00F71067" w:rsidRDefault="00F71067" w:rsidP="00F71067">
      <w:pPr>
        <w:spacing w:after="0" w:line="240" w:lineRule="auto"/>
        <w:rPr>
          <w:rFonts w:cstheme="minorHAnsi"/>
          <w:b/>
          <w:sz w:val="24"/>
          <w:szCs w:val="24"/>
        </w:rPr>
      </w:pPr>
    </w:p>
    <w:p w14:paraId="1BF8320E" w14:textId="77777777" w:rsidR="00F71067" w:rsidRPr="00F71067" w:rsidRDefault="00F71067" w:rsidP="00F71067">
      <w:pPr>
        <w:spacing w:after="0" w:line="240" w:lineRule="auto"/>
        <w:rPr>
          <w:rFonts w:eastAsiaTheme="minorHAnsi" w:cstheme="minorHAnsi"/>
          <w:iCs/>
          <w:sz w:val="24"/>
          <w:szCs w:val="24"/>
          <w:lang w:eastAsia="en-US"/>
        </w:rPr>
      </w:pPr>
      <w:r w:rsidRPr="00F71067">
        <w:rPr>
          <w:rFonts w:cstheme="minorHAnsi"/>
          <w:b/>
          <w:sz w:val="24"/>
          <w:szCs w:val="24"/>
        </w:rPr>
        <w:t>Message #4:</w:t>
      </w:r>
      <w:r w:rsidRPr="00F71067">
        <w:rPr>
          <w:rFonts w:cstheme="minorHAnsi"/>
          <w:sz w:val="24"/>
          <w:szCs w:val="24"/>
        </w:rPr>
        <w:t xml:space="preserve">  Investing in the early years is one of the </w:t>
      </w:r>
      <w:hyperlink r:id="rId7" w:history="1">
        <w:r w:rsidRPr="00F71067">
          <w:rPr>
            <w:rStyle w:val="Hyperlink"/>
            <w:rFonts w:cstheme="minorHAnsi"/>
            <w:color w:val="auto"/>
            <w:sz w:val="24"/>
            <w:szCs w:val="24"/>
            <w:u w:val="none"/>
          </w:rPr>
          <w:t>smartest actions</w:t>
        </w:r>
      </w:hyperlink>
      <w:r w:rsidRPr="00F71067">
        <w:rPr>
          <w:rFonts w:cstheme="minorHAnsi"/>
          <w:sz w:val="24"/>
          <w:szCs w:val="24"/>
        </w:rPr>
        <w:t xml:space="preserve"> a country can take to break the cycle of poverty, address inequality, and boost productivity. The cost of inaction can exceed current expenditures in health and education by two to three-fold. Governments need to redouble efforts, specifically focusing on the early years, as the foundation for building the human capital will continue to benefit current and future generations. </w:t>
      </w:r>
    </w:p>
    <w:p w14:paraId="1BA515F6" w14:textId="77777777" w:rsidR="00F71067" w:rsidRPr="00F71067" w:rsidRDefault="00F71067">
      <w:pPr>
        <w:rPr>
          <w:rFonts w:cstheme="minorHAnsi"/>
          <w:b/>
          <w:sz w:val="24"/>
          <w:szCs w:val="24"/>
        </w:rPr>
      </w:pPr>
    </w:p>
    <w:p w14:paraId="27482DCC" w14:textId="77777777" w:rsidR="00F71067" w:rsidRPr="00F71067" w:rsidRDefault="00F71067">
      <w:pPr>
        <w:rPr>
          <w:rFonts w:cstheme="minorHAnsi"/>
          <w:b/>
          <w:sz w:val="24"/>
          <w:szCs w:val="24"/>
        </w:rPr>
      </w:pPr>
      <w:r w:rsidRPr="00F71067">
        <w:rPr>
          <w:rFonts w:cstheme="minorHAnsi"/>
          <w:b/>
          <w:sz w:val="24"/>
          <w:szCs w:val="24"/>
        </w:rPr>
        <w:t>Proposed Speakers</w:t>
      </w:r>
    </w:p>
    <w:p w14:paraId="1711C421" w14:textId="77777777" w:rsidR="00F71067" w:rsidRPr="00F71067" w:rsidRDefault="00F71067" w:rsidP="00F71067">
      <w:pPr>
        <w:pStyle w:val="ListParagraph"/>
        <w:numPr>
          <w:ilvl w:val="0"/>
          <w:numId w:val="1"/>
        </w:numPr>
        <w:rPr>
          <w:rFonts w:cstheme="minorHAnsi"/>
          <w:sz w:val="24"/>
          <w:szCs w:val="24"/>
        </w:rPr>
      </w:pPr>
      <w:r w:rsidRPr="00F71067">
        <w:rPr>
          <w:rFonts w:cstheme="minorHAnsi"/>
          <w:sz w:val="24"/>
          <w:szCs w:val="24"/>
        </w:rPr>
        <w:t xml:space="preserve">Moderator: Lisa Witter, </w:t>
      </w:r>
      <w:r w:rsidRPr="00F71067">
        <w:rPr>
          <w:rFonts w:cstheme="minorHAnsi"/>
          <w:i/>
          <w:sz w:val="24"/>
          <w:szCs w:val="24"/>
        </w:rPr>
        <w:t>Co-Founder and Executive Chairman,</w:t>
      </w:r>
      <w:r w:rsidRPr="00F71067">
        <w:rPr>
          <w:rFonts w:cstheme="minorHAnsi"/>
          <w:color w:val="545454"/>
          <w:sz w:val="24"/>
          <w:szCs w:val="24"/>
          <w:shd w:val="clear" w:color="auto" w:fill="FFFFFF"/>
        </w:rPr>
        <w:t> </w:t>
      </w:r>
      <w:r w:rsidRPr="00F71067">
        <w:rPr>
          <w:rFonts w:cstheme="minorHAnsi"/>
          <w:sz w:val="24"/>
          <w:szCs w:val="24"/>
        </w:rPr>
        <w:t>Apolitical</w:t>
      </w:r>
    </w:p>
    <w:p w14:paraId="1F9DD160" w14:textId="77777777" w:rsidR="00F71067" w:rsidRPr="00F71067" w:rsidRDefault="00F71067" w:rsidP="00F71067">
      <w:pPr>
        <w:pStyle w:val="ListParagraph"/>
        <w:numPr>
          <w:ilvl w:val="0"/>
          <w:numId w:val="1"/>
        </w:numPr>
        <w:rPr>
          <w:rFonts w:cstheme="minorHAnsi"/>
          <w:sz w:val="24"/>
          <w:szCs w:val="24"/>
        </w:rPr>
      </w:pPr>
      <w:r w:rsidRPr="00F71067">
        <w:rPr>
          <w:rFonts w:cstheme="minorHAnsi"/>
          <w:sz w:val="24"/>
          <w:szCs w:val="24"/>
        </w:rPr>
        <w:t xml:space="preserve">Panelists: </w:t>
      </w:r>
    </w:p>
    <w:p w14:paraId="047609E0" w14:textId="77777777" w:rsidR="00F71067" w:rsidRPr="00F71067" w:rsidRDefault="00F71067" w:rsidP="00F71067">
      <w:pPr>
        <w:pStyle w:val="ListParagraph"/>
        <w:numPr>
          <w:ilvl w:val="1"/>
          <w:numId w:val="1"/>
        </w:numPr>
        <w:rPr>
          <w:rFonts w:cstheme="minorHAnsi"/>
          <w:sz w:val="24"/>
          <w:szCs w:val="24"/>
          <w:lang w:val="en-GB"/>
        </w:rPr>
      </w:pPr>
      <w:proofErr w:type="spellStart"/>
      <w:r w:rsidRPr="00F71067">
        <w:rPr>
          <w:rFonts w:cstheme="minorHAnsi"/>
          <w:sz w:val="24"/>
          <w:szCs w:val="24"/>
          <w:lang w:val="en-GB"/>
        </w:rPr>
        <w:t>Dr.</w:t>
      </w:r>
      <w:proofErr w:type="spellEnd"/>
      <w:r w:rsidRPr="00F71067">
        <w:rPr>
          <w:rFonts w:cstheme="minorHAnsi"/>
          <w:sz w:val="24"/>
          <w:szCs w:val="24"/>
          <w:lang w:val="en-GB"/>
        </w:rPr>
        <w:t xml:space="preserve"> </w:t>
      </w:r>
      <w:proofErr w:type="spellStart"/>
      <w:r w:rsidRPr="00F71067">
        <w:rPr>
          <w:rFonts w:cstheme="minorHAnsi"/>
          <w:sz w:val="24"/>
          <w:szCs w:val="24"/>
          <w:lang w:val="en-GB"/>
        </w:rPr>
        <w:t>Helia</w:t>
      </w:r>
      <w:proofErr w:type="spellEnd"/>
      <w:r w:rsidRPr="00F71067">
        <w:rPr>
          <w:rFonts w:cstheme="minorHAnsi"/>
          <w:sz w:val="24"/>
          <w:szCs w:val="24"/>
          <w:lang w:val="en-GB"/>
        </w:rPr>
        <w:t xml:space="preserve"> Molina</w:t>
      </w:r>
      <w:r w:rsidRPr="00F71067">
        <w:rPr>
          <w:rFonts w:cstheme="minorHAnsi"/>
          <w:sz w:val="24"/>
          <w:szCs w:val="24"/>
        </w:rPr>
        <w:t xml:space="preserve">, </w:t>
      </w:r>
      <w:r w:rsidRPr="00F71067">
        <w:rPr>
          <w:rFonts w:cstheme="minorHAnsi"/>
          <w:i/>
          <w:sz w:val="24"/>
          <w:szCs w:val="24"/>
        </w:rPr>
        <w:t>Dean, Faculty of Clinical Sciences</w:t>
      </w:r>
      <w:r w:rsidRPr="00F71067">
        <w:rPr>
          <w:rFonts w:cstheme="minorHAnsi"/>
          <w:sz w:val="24"/>
          <w:szCs w:val="24"/>
        </w:rPr>
        <w:t>, University of Santiago, Chile Creche Con</w:t>
      </w:r>
      <w:proofErr w:type="spellStart"/>
      <w:r w:rsidRPr="00F71067">
        <w:rPr>
          <w:rFonts w:cstheme="minorHAnsi"/>
          <w:sz w:val="24"/>
          <w:szCs w:val="24"/>
          <w:lang w:val="en-GB"/>
        </w:rPr>
        <w:t>tigo</w:t>
      </w:r>
      <w:proofErr w:type="spellEnd"/>
    </w:p>
    <w:p w14:paraId="3F657A1E" w14:textId="77777777" w:rsidR="00F71067" w:rsidRPr="00F71067" w:rsidRDefault="00F71067" w:rsidP="00F71067">
      <w:pPr>
        <w:pStyle w:val="ListParagraph"/>
        <w:numPr>
          <w:ilvl w:val="1"/>
          <w:numId w:val="1"/>
        </w:numPr>
        <w:rPr>
          <w:rFonts w:cstheme="minorHAnsi"/>
          <w:sz w:val="24"/>
          <w:szCs w:val="24"/>
        </w:rPr>
      </w:pPr>
      <w:r w:rsidRPr="00F71067">
        <w:rPr>
          <w:rFonts w:cstheme="minorHAnsi"/>
          <w:sz w:val="24"/>
          <w:szCs w:val="24"/>
        </w:rPr>
        <w:lastRenderedPageBreak/>
        <w:t xml:space="preserve">Ilona Renner, </w:t>
      </w:r>
      <w:r w:rsidRPr="00F71067">
        <w:rPr>
          <w:rFonts w:cstheme="minorHAnsi"/>
          <w:i/>
          <w:sz w:val="24"/>
          <w:szCs w:val="24"/>
        </w:rPr>
        <w:t>Research Manager</w:t>
      </w:r>
      <w:r w:rsidRPr="00F71067">
        <w:rPr>
          <w:rFonts w:cstheme="minorHAnsi"/>
          <w:sz w:val="24"/>
          <w:szCs w:val="24"/>
        </w:rPr>
        <w:t xml:space="preserve">, National Centre on Early Prevention, Germany </w:t>
      </w:r>
    </w:p>
    <w:p w14:paraId="330A9D07" w14:textId="77777777" w:rsidR="00F71067" w:rsidRPr="00F71067" w:rsidRDefault="00F71067" w:rsidP="00F71067">
      <w:pPr>
        <w:pStyle w:val="ListParagraph"/>
        <w:numPr>
          <w:ilvl w:val="1"/>
          <w:numId w:val="1"/>
        </w:numPr>
        <w:rPr>
          <w:rFonts w:cstheme="minorHAnsi"/>
          <w:sz w:val="24"/>
          <w:szCs w:val="24"/>
        </w:rPr>
      </w:pPr>
      <w:r w:rsidRPr="00F71067">
        <w:rPr>
          <w:rFonts w:cstheme="minorHAnsi"/>
          <w:sz w:val="24"/>
          <w:szCs w:val="24"/>
        </w:rPr>
        <w:t xml:space="preserve">Manoj Jhalani, Ministry of Health and Family Welfare, Government of India </w:t>
      </w:r>
    </w:p>
    <w:p w14:paraId="3936DE00" w14:textId="77777777" w:rsidR="00F71067" w:rsidRPr="00F71067" w:rsidRDefault="00F71067" w:rsidP="00F71067">
      <w:pPr>
        <w:pStyle w:val="ListParagraph"/>
        <w:numPr>
          <w:ilvl w:val="1"/>
          <w:numId w:val="1"/>
        </w:numPr>
        <w:rPr>
          <w:rFonts w:cstheme="minorHAnsi"/>
          <w:sz w:val="24"/>
          <w:szCs w:val="24"/>
        </w:rPr>
      </w:pPr>
      <w:r w:rsidRPr="00F71067">
        <w:rPr>
          <w:rFonts w:cstheme="minorHAnsi"/>
          <w:sz w:val="24"/>
          <w:szCs w:val="24"/>
        </w:rPr>
        <w:t xml:space="preserve">Dr. Jane Ruth </w:t>
      </w:r>
      <w:proofErr w:type="spellStart"/>
      <w:r w:rsidRPr="00F71067">
        <w:rPr>
          <w:rFonts w:cstheme="minorHAnsi"/>
          <w:sz w:val="24"/>
          <w:szCs w:val="24"/>
        </w:rPr>
        <w:t>Aceng</w:t>
      </w:r>
      <w:proofErr w:type="spellEnd"/>
      <w:r w:rsidRPr="00F71067">
        <w:rPr>
          <w:rFonts w:cstheme="minorHAnsi"/>
          <w:sz w:val="24"/>
          <w:szCs w:val="24"/>
        </w:rPr>
        <w:t xml:space="preserve">, </w:t>
      </w:r>
      <w:r w:rsidRPr="00F71067">
        <w:rPr>
          <w:rFonts w:cstheme="minorHAnsi"/>
          <w:i/>
          <w:sz w:val="24"/>
          <w:szCs w:val="24"/>
        </w:rPr>
        <w:t>Minister of Health</w:t>
      </w:r>
      <w:r w:rsidRPr="00F71067">
        <w:rPr>
          <w:rFonts w:cstheme="minorHAnsi"/>
          <w:sz w:val="24"/>
          <w:szCs w:val="24"/>
        </w:rPr>
        <w:t xml:space="preserve">, Uganda  </w:t>
      </w:r>
    </w:p>
    <w:p w14:paraId="08EF7248" w14:textId="77777777" w:rsidR="00F71067" w:rsidRPr="00F71067" w:rsidRDefault="00F71067" w:rsidP="00F71067">
      <w:pPr>
        <w:pStyle w:val="ListParagraph"/>
        <w:numPr>
          <w:ilvl w:val="1"/>
          <w:numId w:val="1"/>
        </w:numPr>
        <w:rPr>
          <w:rFonts w:cstheme="minorHAnsi"/>
          <w:sz w:val="24"/>
          <w:szCs w:val="24"/>
        </w:rPr>
      </w:pPr>
      <w:r w:rsidRPr="00F71067">
        <w:rPr>
          <w:rFonts w:cstheme="minorHAnsi"/>
          <w:sz w:val="24"/>
          <w:szCs w:val="24"/>
        </w:rPr>
        <w:t xml:space="preserve">Senator, The </w:t>
      </w:r>
      <w:proofErr w:type="spellStart"/>
      <w:r w:rsidRPr="00F71067">
        <w:rPr>
          <w:rFonts w:cstheme="minorHAnsi"/>
          <w:sz w:val="24"/>
          <w:szCs w:val="24"/>
        </w:rPr>
        <w:t>Honourable</w:t>
      </w:r>
      <w:proofErr w:type="spellEnd"/>
      <w:r w:rsidRPr="00F71067">
        <w:rPr>
          <w:rFonts w:cstheme="minorHAnsi"/>
          <w:sz w:val="24"/>
          <w:szCs w:val="24"/>
        </w:rPr>
        <w:t xml:space="preserve"> Ruel B. Reid, CD., JP.,</w:t>
      </w:r>
      <w:r w:rsidRPr="00F71067">
        <w:rPr>
          <w:rFonts w:cstheme="minorHAnsi"/>
          <w:i/>
          <w:sz w:val="24"/>
          <w:szCs w:val="24"/>
        </w:rPr>
        <w:t xml:space="preserve"> Minister of Education, Youth and Information,</w:t>
      </w:r>
      <w:r w:rsidRPr="00F71067">
        <w:rPr>
          <w:rFonts w:cstheme="minorHAnsi"/>
          <w:sz w:val="24"/>
          <w:szCs w:val="24"/>
        </w:rPr>
        <w:t xml:space="preserve"> Jamaica</w:t>
      </w:r>
    </w:p>
    <w:p w14:paraId="64FFE42F" w14:textId="77777777" w:rsidR="00F71067" w:rsidRPr="00F71067" w:rsidRDefault="00F71067" w:rsidP="00F71067">
      <w:pPr>
        <w:pStyle w:val="ListParagraph"/>
        <w:numPr>
          <w:ilvl w:val="1"/>
          <w:numId w:val="1"/>
        </w:numPr>
        <w:rPr>
          <w:rFonts w:cstheme="minorHAnsi"/>
          <w:sz w:val="24"/>
          <w:szCs w:val="24"/>
        </w:rPr>
      </w:pPr>
      <w:r w:rsidRPr="00F71067">
        <w:rPr>
          <w:rFonts w:cstheme="minorHAnsi"/>
          <w:sz w:val="24"/>
          <w:szCs w:val="24"/>
        </w:rPr>
        <w:t xml:space="preserve">Helga </w:t>
      </w:r>
      <w:proofErr w:type="spellStart"/>
      <w:r w:rsidRPr="00F71067">
        <w:rPr>
          <w:rFonts w:cstheme="minorHAnsi"/>
          <w:sz w:val="24"/>
          <w:szCs w:val="24"/>
        </w:rPr>
        <w:t>Fogstad</w:t>
      </w:r>
      <w:proofErr w:type="spellEnd"/>
      <w:r w:rsidRPr="00F71067">
        <w:rPr>
          <w:rFonts w:cstheme="minorHAnsi"/>
          <w:sz w:val="24"/>
          <w:szCs w:val="24"/>
        </w:rPr>
        <w:t xml:space="preserve">, </w:t>
      </w:r>
      <w:r w:rsidRPr="00F71067">
        <w:rPr>
          <w:rFonts w:cstheme="minorHAnsi"/>
          <w:i/>
          <w:sz w:val="24"/>
          <w:szCs w:val="24"/>
        </w:rPr>
        <w:t>Executive Director</w:t>
      </w:r>
      <w:r w:rsidRPr="00F71067">
        <w:rPr>
          <w:rFonts w:cstheme="minorHAnsi"/>
          <w:sz w:val="24"/>
          <w:szCs w:val="24"/>
        </w:rPr>
        <w:t>, The Partnership for Maternal, Newborn and Child Health (PMNCH)</w:t>
      </w:r>
    </w:p>
    <w:p w14:paraId="47E1C979" w14:textId="77777777" w:rsidR="00F71067" w:rsidRPr="00F71067" w:rsidRDefault="00F71067" w:rsidP="00F71067">
      <w:pPr>
        <w:pStyle w:val="ListParagraph"/>
        <w:numPr>
          <w:ilvl w:val="1"/>
          <w:numId w:val="1"/>
        </w:numPr>
        <w:rPr>
          <w:rFonts w:cstheme="minorHAnsi"/>
          <w:sz w:val="24"/>
          <w:szCs w:val="24"/>
          <w:lang w:val="en-GB"/>
        </w:rPr>
      </w:pPr>
      <w:r w:rsidRPr="00F71067">
        <w:rPr>
          <w:rFonts w:cstheme="minorHAnsi"/>
          <w:sz w:val="24"/>
          <w:szCs w:val="24"/>
          <w:lang w:val="en-GB"/>
        </w:rPr>
        <w:t xml:space="preserve">Elizabeth Lule, </w:t>
      </w:r>
      <w:r w:rsidRPr="00F71067">
        <w:rPr>
          <w:rFonts w:cstheme="minorHAnsi"/>
          <w:i/>
          <w:sz w:val="24"/>
          <w:szCs w:val="24"/>
          <w:lang w:val="en-GB"/>
        </w:rPr>
        <w:t>Executive Director</w:t>
      </w:r>
      <w:r w:rsidRPr="00F71067">
        <w:rPr>
          <w:rFonts w:cstheme="minorHAnsi"/>
          <w:sz w:val="24"/>
          <w:szCs w:val="24"/>
          <w:lang w:val="en-GB"/>
        </w:rPr>
        <w:t>, Early Childhood Development Action Network (ECDAN)</w:t>
      </w:r>
    </w:p>
    <w:p w14:paraId="3BFAFE19" w14:textId="77777777" w:rsidR="00F71067" w:rsidRPr="00F71067" w:rsidRDefault="00F71067">
      <w:pPr>
        <w:rPr>
          <w:rFonts w:cstheme="minorHAnsi"/>
          <w:b/>
          <w:sz w:val="24"/>
          <w:szCs w:val="24"/>
        </w:rPr>
      </w:pPr>
    </w:p>
    <w:sectPr w:rsidR="00F71067" w:rsidRPr="00F7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75748"/>
    <w:multiLevelType w:val="hybridMultilevel"/>
    <w:tmpl w:val="D42C2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67"/>
    <w:rsid w:val="000173CD"/>
    <w:rsid w:val="006A5C40"/>
    <w:rsid w:val="00F7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D732"/>
  <w15:chartTrackingRefBased/>
  <w15:docId w15:val="{0AA7C71F-7541-4F01-9404-1B78B42D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06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67"/>
    <w:rPr>
      <w:color w:val="0563C1" w:themeColor="hyperlink"/>
      <w:u w:val="single"/>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link w:val="ListParagraph"/>
    <w:uiPriority w:val="34"/>
    <w:locked/>
    <w:rsid w:val="00F71067"/>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F71067"/>
    <w:pPr>
      <w:ind w:left="720"/>
      <w:contextualSpacing/>
    </w:pPr>
    <w:rPr>
      <w:rFonts w:eastAsiaTheme="minorHAnsi"/>
      <w:lang w:eastAsia="en-US"/>
    </w:rPr>
  </w:style>
  <w:style w:type="character" w:styleId="UnresolvedMention">
    <w:name w:val="Unresolved Mention"/>
    <w:basedOn w:val="DefaultParagraphFont"/>
    <w:uiPriority w:val="99"/>
    <w:semiHidden/>
    <w:unhideWhenUsed/>
    <w:rsid w:val="00F71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7519">
      <w:bodyDiv w:val="1"/>
      <w:marLeft w:val="0"/>
      <w:marRight w:val="0"/>
      <w:marTop w:val="0"/>
      <w:marBottom w:val="0"/>
      <w:divBdr>
        <w:top w:val="none" w:sz="0" w:space="0" w:color="auto"/>
        <w:left w:val="none" w:sz="0" w:space="0" w:color="auto"/>
        <w:bottom w:val="none" w:sz="0" w:space="0" w:color="auto"/>
        <w:right w:val="none" w:sz="0" w:space="0" w:color="auto"/>
      </w:divBdr>
    </w:div>
    <w:div w:id="61185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afxTR5qi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nch.org/" TargetMode="External"/><Relationship Id="rId5" Type="http://schemas.openxmlformats.org/officeDocument/2006/relationships/hyperlink" Target="http://www.partnersforum2018.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 Sheila</dc:creator>
  <cp:keywords/>
  <dc:description/>
  <cp:lastModifiedBy>MANJI, Sheila</cp:lastModifiedBy>
  <cp:revision>1</cp:revision>
  <dcterms:created xsi:type="dcterms:W3CDTF">2018-11-14T10:43:00Z</dcterms:created>
  <dcterms:modified xsi:type="dcterms:W3CDTF">2018-11-14T10:51:00Z</dcterms:modified>
</cp:coreProperties>
</file>